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20"/>
        <w:jc w:val="center"/>
        <w:widowControl w:val="1"/>
      </w:pPr>
      <w:r>
        <w:rPr>
          <w:rFonts w:ascii="Arial" w:hAnsi="Arial"/>
          <w:b/>
          <w:sz w:val="26"/>
        </w:rPr>
        <w:t>CITY OF HART</w:t>
      </w:r>
    </w:p>
    <w:p>
      <w:pPr>
        <w:pStyle w:val="Title"/>
        <w:jc w:val="center"/>
        <w:widowControl w:val="1"/>
      </w:pPr>
      <w:r>
        <w:t>South Plum Street Road Realignment Project</w:t>
      </w:r>
    </w:p>
    <w:p>
      <w:pPr>
        <w:spacing w:after="200"/>
        <w:jc w:val="center"/>
        <w:widowControl w:val="1"/>
      </w:pPr>
      <w:r>
        <w:rPr>
          <w:b/>
          <w:sz w:val="24"/>
        </w:rPr>
        <w:t>Addendum No. 1  Bidder Questions and Clarifications</w:t>
      </w:r>
    </w:p>
    <w:tbl>
      <w:tblPr>
        <w:tblW w:type="auto" w:w="0"/>
        <w:tblLayout w:type="fixed"/>
        <w:tblLook w:firstColumn="1" w:firstRow="1" w:lastColumn="0" w:lastRow="0" w:noHBand="0" w:noVBand="1" w:val="04A0"/>
      </w:tblPr>
      <w:tblGrid>
        <w:gridCol w:w="2592"/>
        <w:gridCol w:w="7416"/>
      </w:tblGrid>
      <w:tr>
        <w:tc>
          <w:tcPr>
            <w:tcW w:type="dxa" w:w="4997"/>
            <w:tcMar>
              <w:top w:w="80" w:type="dxa"/>
              <w:start w:w="100" w:type="dxa"/>
              <w:bottom w:w="80" w:type="dxa"/>
              <w:end w:w="100" w:type="dxa"/>
            </w:tcMar>
          </w:tcPr>
          <w:p>
            <w:r>
              <w:rPr>
                <w:b/>
              </w:rPr>
              <w:t>Addendum Issue Date</w:t>
            </w:r>
          </w:p>
        </w:tc>
        <w:tc>
          <w:tcPr>
            <w:tcW w:type="dxa" w:w="4997"/>
            <w:tcMar>
              <w:top w:w="80" w:type="dxa"/>
              <w:start w:w="100" w:type="dxa"/>
              <w:bottom w:w="80" w:type="dxa"/>
              <w:end w:w="100" w:type="dxa"/>
            </w:tcMar>
          </w:tcPr>
          <w:p>
            <w:r>
              <w:t>September 15, 2026</w:t>
            </w:r>
          </w:p>
        </w:tc>
      </w:tr>
      <w:tr>
        <w:tc>
          <w:tcPr>
            <w:tcW w:type="dxa" w:w="4997"/>
            <w:tcMar>
              <w:top w:w="80" w:type="dxa"/>
              <w:start w:w="100" w:type="dxa"/>
              <w:bottom w:w="80" w:type="dxa"/>
              <w:end w:w="100" w:type="dxa"/>
            </w:tcMar>
            <w:shd w:fill="F2F2F2"/>
          </w:tcPr>
          <w:p>
            <w:r>
              <w:rPr>
                <w:b/>
              </w:rPr>
              <w:t>Original Bid Issue Date</w:t>
            </w:r>
          </w:p>
        </w:tc>
        <w:tc>
          <w:tcPr>
            <w:tcW w:type="dxa" w:w="4997"/>
            <w:tcMar>
              <w:top w:w="80" w:type="dxa"/>
              <w:start w:w="100" w:type="dxa"/>
              <w:bottom w:w="80" w:type="dxa"/>
              <w:end w:w="100" w:type="dxa"/>
            </w:tcMar>
            <w:shd w:fill="F2F2F2"/>
          </w:tcPr>
          <w:p>
            <w:r>
              <w:t>August 28, 2026</w:t>
            </w:r>
          </w:p>
        </w:tc>
      </w:tr>
      <w:tr>
        <w:tc>
          <w:tcPr>
            <w:tcW w:type="dxa" w:w="4997"/>
            <w:tcMar>
              <w:top w:w="80" w:type="dxa"/>
              <w:start w:w="100" w:type="dxa"/>
              <w:bottom w:w="80" w:type="dxa"/>
              <w:end w:w="100" w:type="dxa"/>
            </w:tcMar>
          </w:tcPr>
          <w:p>
            <w:r>
              <w:rPr>
                <w:b/>
              </w:rPr>
              <w:t>Bid Opening</w:t>
            </w:r>
          </w:p>
        </w:tc>
        <w:tc>
          <w:tcPr>
            <w:tcW w:type="dxa" w:w="4997"/>
            <w:tcMar>
              <w:top w:w="80" w:type="dxa"/>
              <w:start w:w="100" w:type="dxa"/>
              <w:bottom w:w="80" w:type="dxa"/>
              <w:end w:w="100" w:type="dxa"/>
            </w:tcMar>
          </w:tcPr>
          <w:p>
            <w:r>
              <w:t>October 1, 2026 at 10:00 AM</w:t>
            </w:r>
          </w:p>
        </w:tc>
      </w:tr>
      <w:tr>
        <w:tc>
          <w:tcPr>
            <w:tcW w:type="dxa" w:w="4997"/>
            <w:tcMar>
              <w:top w:w="80" w:type="dxa"/>
              <w:start w:w="100" w:type="dxa"/>
              <w:bottom w:w="80" w:type="dxa"/>
              <w:end w:w="100" w:type="dxa"/>
            </w:tcMar>
            <w:shd w:fill="F2F2F2"/>
          </w:tcPr>
          <w:p>
            <w:r>
              <w:rPr>
                <w:b/>
              </w:rPr>
              <w:t>Anticipated Council Award</w:t>
            </w:r>
          </w:p>
        </w:tc>
        <w:tc>
          <w:tcPr>
            <w:tcW w:type="dxa" w:w="4997"/>
            <w:tcMar>
              <w:top w:w="80" w:type="dxa"/>
              <w:start w:w="100" w:type="dxa"/>
              <w:bottom w:w="80" w:type="dxa"/>
              <w:end w:w="100" w:type="dxa"/>
            </w:tcMar>
            <w:shd w:fill="F2F2F2"/>
          </w:tcPr>
          <w:p>
            <w:r>
              <w:t>October 7, 2026</w:t>
            </w:r>
          </w:p>
        </w:tc>
      </w:tr>
    </w:tbl>
    <w:p>
      <w:pPr>
        <w:widowControl w:val="1"/>
      </w:pPr>
    </w:p>
    <w:p>
      <w:pPr>
        <w:widowControl w:val="1"/>
      </w:pPr>
      <w:r>
        <w:rPr>
          <w:b/>
        </w:rPr>
        <w:t xml:space="preserve">Purpose and effect. </w:t>
      </w:r>
      <w:r>
        <w:t>This Addendum responds to bidder questions and clarifies or modifies the Invitation to Bid, specifications, and Bid Form for the South Plum Street Road Realignment Project. This Addendum is part of the bidding and contract documents. If it conflicts with an earlier bidding document, this Addendum controls. All other requirements remain unchanged.</w:t>
      </w:r>
    </w:p>
    <w:p>
      <w:pPr>
        <w:widowControl w:val="1"/>
      </w:pPr>
      <w:r>
        <w:rPr>
          <w:b/>
        </w:rPr>
        <w:t xml:space="preserve">Bidder responsibility. </w:t>
      </w:r>
      <w:r>
        <w:t>Bidders shall account for these clarifications in their bids and acknowledge receipt of this Addendum on the acknowledgment page.</w:t>
      </w:r>
    </w:p>
    <w:p>
      <w:pPr>
        <w:keepLines/>
        <w:spacing w:before="160" w:after="120"/>
        <w:widowControl w:val="1"/>
      </w:pPr>
      <w:r>
        <w:rPr>
          <w:b/>
          <w:sz w:val="23"/>
        </w:rPr>
        <w:t>1. Bonding and Bid Security</w:t>
        <w:br/>
      </w:r>
      <w:r>
        <w:t>No bid deposit, bid bond, performance bond, or payment or labor-and-material bond will be required for this project.</w:t>
      </w:r>
    </w:p>
    <w:p>
      <w:pPr>
        <w:keepLines/>
        <w:spacing w:before="160" w:after="120"/>
        <w:widowControl w:val="1"/>
      </w:pPr>
      <w:r>
        <w:rPr>
          <w:b/>
          <w:sz w:val="23"/>
        </w:rPr>
        <w:t>2. Funding and Contractor Requirements</w:t>
        <w:br/>
      </w:r>
      <w:r>
        <w:t>The project is funded with City of Hart funds and is separate from the future Safe Routes to School project. MDOT and SRTS requirements do not apply to this contract, including MDOT prequalification, DBE requirements, certified payroll, and SRTS-specific contractor requirements.</w:t>
      </w:r>
    </w:p>
    <w:p>
      <w:pPr>
        <w:keepLines/>
        <w:spacing w:before="160" w:after="120"/>
        <w:widowControl w:val="1"/>
      </w:pPr>
      <w:r>
        <w:rPr>
          <w:b/>
          <w:sz w:val="23"/>
        </w:rPr>
        <w:t>3. Existing Gravel and Additional MDOT 22A</w:t>
        <w:br/>
      </w:r>
      <w:r>
        <w:t>Assume existing suitable gravel will be reused to the greatest extent possible. The base bid shall include excavation, relocation, grading, placement, and compaction of reusable existing gravel. Imported MDOT 22A needed to achieve the required roadway section will be paid under the Additional Aggregate unit price. The City does not guarantee the quantity of reusable gravel or additional aggregate.</w:t>
      </w:r>
    </w:p>
    <w:p>
      <w:pPr>
        <w:keepLines/>
        <w:spacing w:before="160" w:after="120"/>
        <w:widowControl w:val="1"/>
      </w:pPr>
      <w:r>
        <w:rPr>
          <w:b/>
          <w:sz w:val="23"/>
        </w:rPr>
        <w:t>4. Additional Aggregate Unit Price</w:t>
        <w:br/>
      </w:r>
      <w:r>
        <w:t>Bid additional MDOT 22A per cubic yard delivered, with quantities verified by delivery or truck tickets. The unit price shall include material, hauling, placement, grading, and compaction. This unit price also applies to City-authorized aggregate needed to correct unstable subgrade discovered during proof-rolling. The City must authorize additional aggregate before placement.</w:t>
      </w:r>
    </w:p>
    <w:p>
      <w:pPr>
        <w:keepLines/>
        <w:spacing w:before="160" w:after="120"/>
        <w:widowControl w:val="1"/>
      </w:pPr>
      <w:r>
        <w:rPr>
          <w:b/>
          <w:sz w:val="23"/>
        </w:rPr>
        <w:t>5. Survey and Alignment Staking</w:t>
        <w:br/>
      </w:r>
      <w:r>
        <w:t>The project area has been surveyed and the right-of-way established. The City will work with its engineer and the selected roadway contractor to identify the new roadway centerline and alignment before construction. Do not include professional survey or alignment-staking costs in the bid. This clarification supersedes the statement in the Invitation to Bid requiring the contractor to stake the proposed alignment. Normal construction layout needed to perform the contractor's work remains the contractor's responsibility.</w:t>
      </w:r>
    </w:p>
    <w:p>
      <w:pPr>
        <w:keepLines/>
        <w:spacing w:before="160" w:after="120"/>
        <w:widowControl w:val="1"/>
      </w:pPr>
      <w:r>
        <w:rPr>
          <w:b/>
          <w:sz w:val="23"/>
        </w:rPr>
        <w:t>6. Limits of Work</w:t>
        <w:br/>
      </w:r>
      <w:r>
        <w:t>The scope is limited to work necessary for the South Plum Street roadway realignment. It includes necessary clearing and tree removal, removal of portions of the existing roadway, grading, reuse of suitable gravel, construction of the 22-foot-wide gravel roadway, drainage grading, and required restoration. Items shown on the SRTS plans that relate to the future trail project are not part of this contract.</w:t>
      </w:r>
    </w:p>
    <w:p>
      <w:pPr>
        <w:keepLines/>
        <w:spacing w:before="160" w:after="120"/>
        <w:widowControl w:val="1"/>
      </w:pPr>
      <w:r>
        <w:rPr>
          <w:b/>
          <w:sz w:val="23"/>
        </w:rPr>
        <w:t>7. Environmental and Archaeological Monitoring</w:t>
        <w:br/>
      </w:r>
      <w:r>
        <w:t>The City does not require the roadway contractor to provide or pay for archaeological or environmental monitoring. If monitoring is determined to be necessary, the City will arrange it separately. The contractor shall stop work in the affected area and promptly notify the City if potentially significant archaeological materials or unexpected environmental conditions are encountered.</w:t>
      </w:r>
    </w:p>
    <w:p>
      <w:pPr>
        <w:keepLines/>
        <w:spacing w:before="160" w:after="120"/>
        <w:widowControl w:val="1"/>
      </w:pPr>
      <w:r>
        <w:rPr>
          <w:b/>
          <w:sz w:val="23"/>
        </w:rPr>
        <w:t>8. Restoration</w:t>
        <w:br/>
      </w:r>
      <w:r>
        <w:t>The roadway contractor is not responsible for topsoil and seed restoration on the west side of the relocated roadway. This clarification supersedes contrary west-side restoration language in the original bid documents. Bid the requested topsoil and seed restoration on the east side as a separate item. If directed by the City, the work shall include a minimum of 3 inches of topsoil, lawn-type seed suitable for the site, mulch or straw, and establishment and stabilization of disturbed areas as directed by the City.</w:t>
      </w:r>
    </w:p>
    <w:p>
      <w:pPr>
        <w:keepLines/>
        <w:spacing w:before="160" w:after="120"/>
        <w:widowControl w:val="1"/>
      </w:pPr>
      <w:r>
        <w:rPr>
          <w:b/>
          <w:sz w:val="23"/>
        </w:rPr>
        <w:t>9. Right of Way and Traffic Control</w:t>
        <w:br/>
      </w:r>
      <w:r>
        <w:t>No City right-of-way permit or permit fee is required because this is a City project. The contractor may temporarily close South Plum Street within the active work area as necessary for safe performance, provided reasonable access to residences and emergency services is maintained. The contractor shall provide and maintain all necessary barricades, signs, and traffic-control devices, with those costs included in the base bid. Contacting MISS DIG remains the contractor's responsibility under the existing specifications.</w:t>
      </w:r>
    </w:p>
    <w:p>
      <w:pPr>
        <w:keepLines/>
        <w:spacing w:before="160" w:after="120"/>
        <w:widowControl w:val="1"/>
      </w:pPr>
      <w:r>
        <w:rPr>
          <w:b/>
          <w:sz w:val="23"/>
        </w:rPr>
        <w:t>10. Schedule and Coordination</w:t>
        <w:br/>
      </w:r>
      <w:r>
        <w:t>The final construction schedule will be coordinated with the City following award. Spring 2027 construction is preferred, with completion before the start of SRTS trail construction. Weather, frost, and other conditions affecting proper roadway construction will be considered by the City. This clarification supersedes the requirement for completion on or before April 5, 2027 in the original bid documents and Bid Form.</w:t>
      </w:r>
    </w:p>
    <w:p>
      <w:pPr>
        <w:keepLines/>
        <w:spacing w:before="160" w:after="120"/>
        <w:widowControl w:val="1"/>
      </w:pPr>
      <w:r>
        <w:rPr>
          <w:b/>
          <w:sz w:val="23"/>
        </w:rPr>
        <w:t>11. Testing and Compaction</w:t>
        <w:br/>
      </w:r>
      <w:r>
        <w:t>Independent density testing is not presently required. The contractor shall properly compact the subgrade and aggregate to provide a firm, stable roadway meeting the specifications and free from rutting, pumping, excessive settlement, erosion, and standing water. The City will inspect the work and may require additional compaction or correction if the specifications are not met. If the City elects to obtain independent testing, the City will arrange and pay for it.</w:t>
      </w:r>
    </w:p>
    <w:p>
      <w:pPr>
        <w:keepLines/>
        <w:spacing w:before="160" w:after="120"/>
        <w:widowControl w:val="1"/>
      </w:pPr>
      <w:r>
        <w:rPr>
          <w:b/>
          <w:sz w:val="23"/>
        </w:rPr>
        <w:t>12. Disposal and Contract Documents</w:t>
        <w:br/>
      </w:r>
      <w:r>
        <w:t>The contractor is responsible for removal and lawful disposal of trees, stumps, sod, unsuitable material, and other debris not reused as part of the project. Disposal shall be included in the base bid. The successful contractor must also meet the insurance requirements stated in the Invitation to Bid.</w:t>
      </w:r>
    </w:p>
    <w:p>
      <w:pPr>
        <w:widowControl w:val="1"/>
      </w:pPr>
      <w:r>
        <w:br w:type="page"/>
      </w:r>
    </w:p>
    <w:p>
      <w:pPr>
        <w:pStyle w:val="Title"/>
        <w:jc w:val="center"/>
        <w:widowControl w:val="1"/>
      </w:pPr>
      <w:r>
        <w:t>Bidder Acknowledgment of Addendum No. 1</w:t>
      </w:r>
    </w:p>
    <w:p>
      <w:pPr>
        <w:widowControl w:val="1"/>
      </w:pPr>
      <w:r>
        <w:rPr>
          <w:b/>
        </w:rPr>
        <w:t xml:space="preserve">Project: </w:t>
      </w:r>
      <w:r>
        <w:t>South Plum Street Road Realignment Project</w:t>
      </w:r>
    </w:p>
    <w:p>
      <w:pPr>
        <w:widowControl w:val="1"/>
      </w:pPr>
      <w:r>
        <w:t>The undersigned acknowledges receipt of Addendum No. 1 and confirms that the bidder has incorporated its requirements and clarifications into the bid.</w:t>
      </w:r>
    </w:p>
    <w:tbl>
      <w:tblPr>
        <w:tblW w:type="auto" w:w="0"/>
        <w:tblLayout w:type="fixed"/>
        <w:tblLook w:firstColumn="1" w:firstRow="1" w:lastColumn="0" w:lastRow="0" w:noHBand="0" w:noVBand="1" w:val="04A0"/>
      </w:tblPr>
      <w:tblGrid>
        <w:gridCol w:w="2880"/>
        <w:gridCol w:w="7128"/>
      </w:tblGrid>
      <w:tr>
        <w:trPr>
          <w:trHeight w:val="691"/>
        </w:trPr>
        <w:tc>
          <w:tcPr>
            <w:tcW w:type="dxa" w:w="4997"/>
            <w:tcMar>
              <w:top w:w="90" w:type="dxa"/>
              <w:start w:w="0" w:type="dxa"/>
              <w:bottom w:w="45" w:type="dxa"/>
              <w:end w:w="80" w:type="dxa"/>
            </w:tcMar>
            <w:tcBorders>
              <w:bottom w:val="nil"/>
            </w:tcBorders>
          </w:tcPr>
          <w:p>
            <w:r>
              <w:rPr>
                <w:b/>
              </w:rPr>
              <w:t>Bidder name:</w:t>
            </w:r>
          </w:p>
        </w:tc>
        <w:tc>
          <w:tcPr>
            <w:tcW w:type="dxa" w:w="4997"/>
            <w:tcMar>
              <w:top w:w="90" w:type="dxa"/>
              <w:start w:w="0" w:type="dxa"/>
              <w:bottom w:w="45" w:type="dxa"/>
              <w:end w:w="80" w:type="dxa"/>
            </w:tcMar>
            <w:tcBorders>
              <w:bottom w:val="single" w:sz="6" w:color="808080"/>
            </w:tcBorders>
          </w:tcPr>
          <w:p>
            <w:r/>
          </w:p>
        </w:tc>
      </w:tr>
      <w:tr>
        <w:trPr>
          <w:trHeight w:val="691"/>
        </w:trPr>
        <w:tc>
          <w:tcPr>
            <w:tcW w:type="dxa" w:w="4997"/>
            <w:tcMar>
              <w:top w:w="90" w:type="dxa"/>
              <w:start w:w="0" w:type="dxa"/>
              <w:bottom w:w="45" w:type="dxa"/>
              <w:end w:w="80" w:type="dxa"/>
            </w:tcMar>
            <w:tcBorders>
              <w:bottom w:val="nil"/>
            </w:tcBorders>
          </w:tcPr>
          <w:p>
            <w:r>
              <w:rPr>
                <w:b/>
              </w:rPr>
              <w:t>Authorized representative:</w:t>
            </w:r>
          </w:p>
        </w:tc>
        <w:tc>
          <w:tcPr>
            <w:tcW w:type="dxa" w:w="4997"/>
            <w:tcMar>
              <w:top w:w="90" w:type="dxa"/>
              <w:start w:w="0" w:type="dxa"/>
              <w:bottom w:w="45" w:type="dxa"/>
              <w:end w:w="80" w:type="dxa"/>
            </w:tcMar>
            <w:tcBorders>
              <w:bottom w:val="single" w:sz="6" w:color="808080"/>
            </w:tcBorders>
          </w:tcPr>
          <w:p>
            <w:r/>
          </w:p>
        </w:tc>
      </w:tr>
      <w:tr>
        <w:trPr>
          <w:trHeight w:val="691"/>
        </w:trPr>
        <w:tc>
          <w:tcPr>
            <w:tcW w:type="dxa" w:w="4997"/>
            <w:tcMar>
              <w:top w:w="90" w:type="dxa"/>
              <w:start w:w="0" w:type="dxa"/>
              <w:bottom w:w="45" w:type="dxa"/>
              <w:end w:w="80" w:type="dxa"/>
            </w:tcMar>
            <w:tcBorders>
              <w:bottom w:val="nil"/>
            </w:tcBorders>
          </w:tcPr>
          <w:p>
            <w:r>
              <w:rPr>
                <w:b/>
              </w:rPr>
              <w:t>Signature:</w:t>
            </w:r>
          </w:p>
        </w:tc>
        <w:tc>
          <w:tcPr>
            <w:tcW w:type="dxa" w:w="4997"/>
            <w:tcMar>
              <w:top w:w="90" w:type="dxa"/>
              <w:start w:w="0" w:type="dxa"/>
              <w:bottom w:w="45" w:type="dxa"/>
              <w:end w:w="80" w:type="dxa"/>
            </w:tcMar>
            <w:tcBorders>
              <w:bottom w:val="single" w:sz="6" w:color="808080"/>
            </w:tcBorders>
          </w:tcPr>
          <w:p>
            <w:r/>
          </w:p>
        </w:tc>
      </w:tr>
      <w:tr>
        <w:trPr>
          <w:trHeight w:val="691"/>
        </w:trPr>
        <w:tc>
          <w:tcPr>
            <w:tcW w:type="dxa" w:w="4997"/>
            <w:tcMar>
              <w:top w:w="90" w:type="dxa"/>
              <w:start w:w="0" w:type="dxa"/>
              <w:bottom w:w="45" w:type="dxa"/>
              <w:end w:w="80" w:type="dxa"/>
            </w:tcMar>
            <w:tcBorders>
              <w:bottom w:val="nil"/>
            </w:tcBorders>
          </w:tcPr>
          <w:p>
            <w:r>
              <w:rPr>
                <w:b/>
              </w:rPr>
              <w:t>Date:</w:t>
            </w:r>
          </w:p>
        </w:tc>
        <w:tc>
          <w:tcPr>
            <w:tcW w:type="dxa" w:w="4997"/>
            <w:tcMar>
              <w:top w:w="90" w:type="dxa"/>
              <w:start w:w="0" w:type="dxa"/>
              <w:bottom w:w="45" w:type="dxa"/>
              <w:end w:w="80" w:type="dxa"/>
            </w:tcMar>
            <w:tcBorders>
              <w:bottom w:val="single" w:sz="6" w:color="808080"/>
            </w:tcBorders>
          </w:tcPr>
          <w:p>
            <w:r/>
          </w:p>
        </w:tc>
      </w:tr>
    </w:tbl>
    <w:p>
      <w:pPr>
        <w:spacing w:before="440"/>
        <w:widowControl w:val="1"/>
      </w:pPr>
      <w:r>
        <w:rPr>
          <w:b/>
        </w:rPr>
        <w:t xml:space="preserve">Submission instruction. </w:t>
      </w:r>
      <w:r>
        <w:t>Return this acknowledgment with the bid. Failure to return it may be treated as an informality subject to the City's reserved right to waive informalities.</w:t>
      </w:r>
    </w:p>
    <w:sectPr w:rsidR="00FC693F" w:rsidRPr="0006063C" w:rsidSect="00034616">
      <w:footerReference w:type="default" r:id="rId9"/>
      <w:pgSz w:w="12240" w:h="15840"/>
      <w:pgMar w:top="893" w:right="1123" w:bottom="936" w:left="112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color w:val="595959"/>
        <w:sz w:val="16"/>
      </w:rPr>
      <w:t xml:space="preserve">South Plum Street Road Realignment Project  |  Addendum No. 1  |  Page </w:t>
    </w:r>
    <w:fldSimple w:instr="PAGE"/>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54" w:lineRule="auto"/>
    </w:pPr>
    <w:rPr>
      <w:rFonts w:ascii="Arial" w:hAnsi="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180" w:after="100" w:line="240" w:lineRule="auto"/>
      <w:outlineLvl w:val="0"/>
    </w:pPr>
    <w:rPr>
      <w:rFonts w:asciiTheme="majorHAnsi" w:eastAsiaTheme="majorEastAsia" w:hAnsiTheme="majorHAnsi" w:cstheme="majorBidi" w:ascii="Arial" w:hAnsi="Arial"/>
      <w:b/>
      <w:bCs/>
      <w:color w:val="000000"/>
      <w:sz w:val="23"/>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spacing w:after="80" w:line="240" w:lineRule="auto"/>
      <w:contextualSpacing/>
    </w:pPr>
    <w:rPr>
      <w:rFonts w:asciiTheme="majorHAnsi" w:eastAsiaTheme="majorEastAsia" w:hAnsiTheme="majorHAnsi" w:cstheme="majorBidi" w:ascii="Arial" w:hAnsi="Arial"/>
      <w:b/>
      <w:color w:val="000000"/>
      <w:spacing w:val="5"/>
      <w:kern w:val="28"/>
      <w:sz w:val="3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South Plum Street Road Realignment Project Addendum No. 1</dc:title>
  <dc:subject>Bidder questions and clarifications</dc:subject>
  <dc:creator>City of Hart</dc:creator>
  <cp:keywords/>
  <dc:description>generated by python-docx</dc:description>
  <cp:lastModifiedBy/>
  <cp:revision>1</cp:revision>
  <dcterms:created xsi:type="dcterms:W3CDTF">2013-12-23T23:15:00Z</dcterms:created>
  <dcterms:modified xsi:type="dcterms:W3CDTF">2013-12-23T23:15:00Z</dcterms:modified>
  <cp:category/>
</cp:coreProperties>
</file>